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6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Обращение прямой речи в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косвенную</w:t>
                  </w:r>
                  <w:proofErr w:type="gramEnd"/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обращении прямой речи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косвенную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Ягде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чтоонгде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Петрвзялмойсловарь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чтоПетрвзялеесловарь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11"/>
              <w:gridCol w:w="5104"/>
            </w:tblGrid>
            <w:tr w:rsidR="006A7066" w:rsidRPr="00126C03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Япослалимкаталогвпонедельник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чтоонпослалимкаталогвпонедельник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Яперевелтекст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чтоонперевелтекст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</w:t>
                  </w:r>
                  <w:proofErr w:type="spellEnd"/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</w:t>
                  </w:r>
                  <w:proofErr w:type="spellEnd"/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Яждувасспятичасов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чтоонждетменяспятичасов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неперфектное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 w:rsidRPr="00126C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чтовиделеетам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Ячитала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чтоончитала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day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years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had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they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six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208"/>
            </w:tblGrid>
            <w:tr w:rsidR="006A7066" w:rsidRPr="0044118E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Япойдутуда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чтоонпойдеттуда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be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Ябудуработатьэтимлетом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 формы прошедшего времени изменятся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have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3"/>
              <w:gridCol w:w="5132"/>
            </w:tblGrid>
            <w:tr w:rsidR="006A7066" w:rsidRPr="0044118E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Контрактбудетподписанвечером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чтоконтрактбудетподписанвечером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send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telegram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told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her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consult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627"/>
              <w:gridCol w:w="4728"/>
            </w:tblGrid>
            <w:tr w:rsidR="006A7066" w:rsidRPr="0044118E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Вамследуетпослатьимтелеграммунемедленно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чтоемуследуетпослатьимтелеграммунемедленно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lastRenderedPageBreak/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двумяднямираньше</w:t>
                  </w:r>
                  <w:proofErr w:type="spellEnd"/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year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вследующемгоду</w:t>
                  </w:r>
                  <w:proofErr w:type="spellEnd"/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last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previous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hereyesterday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Онибылиздесьвчера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had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therethe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чтоонибылитамнакануне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5025"/>
            </w:tblGrid>
            <w:tr w:rsidR="006A7066" w:rsidRPr="0044118E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ll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чтоябудуздесьзавтра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translate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Янапишуписьмозавтра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чтооннапишетписьмонаследующийдень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Ябылздесьвчера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чтоонбылтамнакануне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ктопришел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когдаявиделего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Гдевыбыливчера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гдеябылнакануне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Гдевыживете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where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had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his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65"/>
            </w:tblGrid>
            <w:tr w:rsidR="006A7066" w:rsidRPr="0044118E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</w:t>
                  </w:r>
                  <w:proofErr w:type="gram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was the price of this car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= He asked me what the price of this car was.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знакомлиясегоженой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будулиятамнаследующийдень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получиллияихфактуру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Pr="0044118E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Вычиталиутреннююгазету</w:t>
                  </w:r>
                  <w:proofErr w:type="spellEnd"/>
                  <w:r w:rsidRPr="0044118E"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Pr="0044118E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Онаспросила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читаллияутреннююгазету</w:t>
                  </w:r>
                  <w:proofErr w:type="spellEnd"/>
                  <w:r w:rsidRPr="0044118E"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understood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Краткие ответы в косвенной речи передаются повторением вспомогательного или модального глагола, содержащегося в кратком прямом ответе.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speak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implore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allow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Онвелелмнеостановитьмашину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Онавелелаемупридтивпятьчасов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Ясказалей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принеситемнестаканводы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Япопросилеепринестимнестаканводы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Онасказаламальчику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Ждименяздесь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Онавелеламальчикуждатьеетам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4118E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Командирсказалчасовому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Командирвелелчасовомуувестипленного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open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open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Закройтедверь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=  Она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tell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command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800000"/>
          <w:lang w:eastAsia="ru-RU"/>
        </w:rPr>
        <w:t>Из книги Александра Васильева </w:t>
      </w:r>
      <w:hyperlink r:id="rId4" w:history="1">
        <w:r>
          <w:rPr>
            <w:rStyle w:val="a3"/>
            <w:color w:val="800000"/>
          </w:rPr>
          <w:t>"Английский: правила произношения и чтения, грамматика, разговорный язык"</w:t>
        </w:r>
      </w:hyperlink>
      <w:r>
        <w:rPr>
          <w:rFonts w:ascii="Times New Roman" w:hAnsi="Times New Roman"/>
          <w:color w:val="800000"/>
          <w:lang w:eastAsia="ru-RU"/>
        </w:rPr>
        <w:t>.</w:t>
      </w:r>
    </w:p>
    <w:p w:rsidR="006A7066" w:rsidRDefault="006A7066" w:rsidP="006A7066"/>
    <w:p w:rsidR="00C441B5" w:rsidRDefault="00C441B5">
      <w:bookmarkStart w:id="0" w:name="_GoBack"/>
      <w:bookmarkEnd w:id="0"/>
    </w:p>
    <w:sectPr w:rsidR="00C441B5" w:rsidSect="00A7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2E3"/>
    <w:rsid w:val="00126C03"/>
    <w:rsid w:val="0044118E"/>
    <w:rsid w:val="006A7066"/>
    <w:rsid w:val="007951F0"/>
    <w:rsid w:val="0080031E"/>
    <w:rsid w:val="00A7460F"/>
    <w:rsid w:val="00B322E3"/>
    <w:rsid w:val="00C4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leng.ru/mybook/myb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2908</Words>
  <Characters>16577</Characters>
  <Application>Microsoft Office Word</Application>
  <DocSecurity>0</DocSecurity>
  <Lines>138</Lines>
  <Paragraphs>38</Paragraphs>
  <ScaleCrop>false</ScaleCrop>
  <Company>Microsoft</Company>
  <LinksUpToDate>false</LinksUpToDate>
  <CharactersWithSpaces>19447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2</cp:revision>
  <dcterms:created xsi:type="dcterms:W3CDTF">2019-08-13T05:09:00Z</dcterms:created>
  <dcterms:modified xsi:type="dcterms:W3CDTF">2019-08-13T05:09:00Z</dcterms:modified>
</cp:coreProperties>
</file>